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297C4" w14:textId="77777777" w:rsidR="009957CF" w:rsidRPr="00297C95" w:rsidRDefault="009957CF" w:rsidP="009957CF">
      <w:pPr>
        <w:pStyle w:val="NormalWeb"/>
        <w:spacing w:before="0" w:beforeAutospacing="0" w:after="0" w:afterAutospacing="0" w:line="276" w:lineRule="auto"/>
        <w:ind w:firstLine="706"/>
        <w:jc w:val="right"/>
        <w:rPr>
          <w:rFonts w:ascii="Sylfaen" w:hAnsi="Sylfaen" w:cs="Arial Unicode"/>
          <w:b/>
          <w:bCs/>
          <w:shd w:val="clear" w:color="auto" w:fill="FFFFFF"/>
          <w:lang w:val="hy-AM"/>
        </w:rPr>
      </w:pPr>
      <w:bookmarkStart w:id="0" w:name="_GoBack"/>
      <w:bookmarkEnd w:id="0"/>
      <w:r w:rsidRPr="00297C95">
        <w:rPr>
          <w:rFonts w:ascii="Sylfaen" w:hAnsi="Sylfaen" w:cs="Arial Unicode"/>
          <w:b/>
          <w:bCs/>
          <w:shd w:val="clear" w:color="auto" w:fill="FFFFFF"/>
          <w:lang w:val="hy-AM"/>
        </w:rPr>
        <w:t>ՆԱԽԱԳԻԾ</w:t>
      </w:r>
    </w:p>
    <w:p w14:paraId="36050309"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79523906"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62628354"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 ՔԱՂԱՔԱՑԻԱԿԱՆ ԴԱՏԱՎԱՐՈՒԹՅԱՆ ՕՐԵՆՍԳՐՔՈՒՄ ՓՈՓՈԽՈՒԹՅՈՒՆՆԵՐ ԵՎ ԼՐԱՑՈՒՄ ԿԱՏԱՐԵԼՈԻ ՄԱՍԻՆ</w:t>
      </w:r>
    </w:p>
    <w:p w14:paraId="785519EF"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73D0DFA8"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r>
      <w:r w:rsidRPr="00297C95">
        <w:rPr>
          <w:rFonts w:ascii="Sylfaen" w:hAnsi="Sylfaen" w:cs="Arial Unicode"/>
          <w:b/>
          <w:bCs/>
          <w:shd w:val="clear" w:color="auto" w:fill="FFFFFF"/>
          <w:lang w:val="hy-AM"/>
        </w:rPr>
        <w:t>Հոդված 1</w:t>
      </w:r>
      <w:r w:rsidRPr="00297C95">
        <w:rPr>
          <w:rFonts w:ascii="Sylfaen" w:hAnsi="Sylfaen" w:cs="Arial Unicode"/>
          <w:bCs/>
          <w:shd w:val="clear" w:color="auto" w:fill="FFFFFF"/>
          <w:lang w:val="hy-AM"/>
        </w:rPr>
        <w:t>. 2018 թվականի փետրվարի 9-ի Հայաստանի Հանրապետության քաղաքացիական դատավարության օրենսգրքի (այսուհետ՝ Օրենսգիրք)՝</w:t>
      </w:r>
    </w:p>
    <w:p w14:paraId="2F21175C"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49-րդ հոդվածի 4-րդ մասը շարադրել նոր խմբագրությամբ.</w:t>
      </w:r>
    </w:p>
    <w:p w14:paraId="2389EA7B"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«4. Որպես համայնքի ներկայացուցիչ` դատարանում իր իրավասության սահմաններում ի պաշտոնե հանդես է գալիս համայնքի ղեկավարը կամ նրա տեղակալը:  Համայնքի ղեկավարի որոշմամբ դատարանում որպես համայնքի ներկայացուցիչ կարող են հանդես գալ նաև համայնքապետարանի կամ քաղաքապետարանի աշխատակազմի կառուցվածքային և առանձնացված ստորաբաժանումների ղեկավարները:».</w:t>
      </w:r>
    </w:p>
    <w:p w14:paraId="7CF54426"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55-րդ հոդվածի՝</w:t>
      </w:r>
    </w:p>
    <w:p w14:paraId="68447358"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 ա. 1-ին մասի 2-րդ կետը շարադրել նոր խմբագրությամբ.</w:t>
      </w:r>
    </w:p>
    <w:p w14:paraId="2509D575"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իրավաբանական անձի գործադիր մարմնի ղեկավարի կամ կանոնադրությամբ այդ իրավաբանական անձին առանց լիազորագրի ներկայացնելու իրավունք ունեցող անձի, պետական մարմնի ղեկավարի կամ նրա տեղակալի, ինչպես նաև համայնքի ղեկավարի կամ նրա տեղակալի կամ օրենքով նախատեսված դեպքերում համայնքի ղեկավարի որոշմամբ որպես համայնքի ներկայացուցիչ դատարանում հանդես գալու լիազորություն ունենալու դեպքում՝ համայնքապետարանի կամ քաղաքապետարանի աշխատակազմի կառուցվածքային և առանձնացված ստորաբաժանումների ղեկավարների` սույն օրենսգրքի 52-րդ հոդվածի 2-րդ մասի 2-րդ կետով նախատեսված անձին հասարակ գրավոր ձևով տրված լիազորագրով.».</w:t>
      </w:r>
    </w:p>
    <w:p w14:paraId="054E9EDB"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բ. 3-րդ մասը շարադրել նոր խմբագրությամբ.</w:t>
      </w:r>
    </w:p>
    <w:p w14:paraId="3430F7A0"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«3. Օրինական և ի պաշտոնե ներկայացուցչի լիազորությունները հաստատվում են նրա կարգավիճակը հավաստող համապատասխան փաստաթղթերով, իսկ օրենքով նախատեսված դեպքերում՝ համայնքի ղեկավարի որոշմամբ որպես համայնքի ներկայացուցիչ դատարանում հանդես գալու լիազորություն ունենալու դեպքում՝ համայնքապետարանի կամ քաղաքապետարանի աշխատակազմի կառուցվածքային և առանձնացված ստորաբաժանումների ղեկավարների լիազորությունները հաստատվում են վերջիններիս` համայնքի անունից հանդես գալու լիազորությունը հավաստող համապատասխան փաստաթղթերով:».</w:t>
      </w:r>
    </w:p>
    <w:p w14:paraId="55987437"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4) 129-րդ հոդվածի 4-րդ մասում լրացնել նոր նախադասություն.</w:t>
      </w:r>
    </w:p>
    <w:p w14:paraId="54AF3992"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
          <w:bCs/>
          <w:shd w:val="clear" w:color="auto" w:fill="FFFFFF"/>
          <w:lang w:val="hy-AM"/>
        </w:rPr>
      </w:pPr>
      <w:r w:rsidRPr="00297C95">
        <w:rPr>
          <w:rFonts w:ascii="Sylfaen" w:hAnsi="Sylfaen" w:cs="Arial Unicode"/>
          <w:bCs/>
          <w:shd w:val="clear" w:color="auto" w:fill="FFFFFF"/>
          <w:lang w:val="hy-AM"/>
        </w:rPr>
        <w:tab/>
        <w:t xml:space="preserve">«Համայնքային սեփականություն հանդիսացող հողամասում կամ համայնքի վարչական սահմաններում գտնվող պետական սեփականություն հանդիսացող հողամասում գտնվող ինքնակամ կառույցների օրինականացման կամ քանդման (ապամոնտաժման) հետ կապված վեճերով չի կարող կիրառվել հայցի ապահովման այնպիսի միջոց, որը կհանգեցնի համայնքային սեփականություն հանդիսացող հողամասում կամ համայնքի վարչական սահմաններում գտնվող պետական </w:t>
      </w:r>
      <w:r w:rsidRPr="00297C95">
        <w:rPr>
          <w:rFonts w:ascii="Sylfaen" w:hAnsi="Sylfaen" w:cs="Arial Unicode"/>
          <w:bCs/>
          <w:shd w:val="clear" w:color="auto" w:fill="FFFFFF"/>
          <w:lang w:val="hy-AM"/>
        </w:rPr>
        <w:lastRenderedPageBreak/>
        <w:t>սեփականություն հանդիսացող հողամասում գտնվող ինքնակամ կառույցների քանդման (ապամոնտաժման) արգելելուն:»:</w:t>
      </w:r>
    </w:p>
    <w:p w14:paraId="61407CD7"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
          <w:bCs/>
          <w:shd w:val="clear" w:color="auto" w:fill="FFFFFF"/>
          <w:lang w:val="hy-AM"/>
        </w:rPr>
      </w:pPr>
      <w:r w:rsidRPr="00297C95">
        <w:rPr>
          <w:rFonts w:ascii="Sylfaen" w:hAnsi="Sylfaen" w:cs="Arial Unicode"/>
          <w:b/>
          <w:bCs/>
          <w:shd w:val="clear" w:color="auto" w:fill="FFFFFF"/>
          <w:lang w:val="hy-AM"/>
        </w:rPr>
        <w:t>Հոդված 2.</w:t>
      </w:r>
      <w:r w:rsidRPr="00297C95">
        <w:rPr>
          <w:rFonts w:ascii="Sylfaen" w:hAnsi="Sylfaen" w:cs="Arial Unicode"/>
          <w:bCs/>
          <w:shd w:val="clear" w:color="auto" w:fill="FFFFFF"/>
          <w:lang w:val="hy-AM"/>
        </w:rPr>
        <w:t xml:space="preserve"> </w:t>
      </w:r>
      <w:r w:rsidRPr="00297C95">
        <w:rPr>
          <w:rFonts w:ascii="Sylfaen" w:hAnsi="Sylfaen"/>
          <w:bCs/>
          <w:lang w:val="hy-AM"/>
        </w:rPr>
        <w:t xml:space="preserve"> </w:t>
      </w:r>
      <w:r w:rsidRPr="00297C95">
        <w:rPr>
          <w:rFonts w:ascii="Sylfaen" w:hAnsi="Sylfaen"/>
          <w:b/>
          <w:bCs/>
          <w:lang w:val="hy-AM"/>
        </w:rPr>
        <w:t>Եզրափակիչ մաս և անցումային դրույթներ</w:t>
      </w:r>
    </w:p>
    <w:p w14:paraId="0202260A"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1. Սույն օրենքն ուժի մեջ է մտնում պաշտոնական հրապարակման օրվանից մեկ ամիս հետո: </w:t>
      </w:r>
    </w:p>
    <w:p w14:paraId="277A109F"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Մինչև սույն օրենքն ուժի մեջ մտնելը ներկայացված միջնորդությունների հիման  վրա կիրառված հայցի ապահովման միջոցները, որոնք հանգեցրել են համայնքային կամ պետական սեփականություն հանդիսացող հողամասում գտնվող ինքնակամ կառույցների քանդման (ապամոնտաժման) արգելելուն` սույն օրենքն ուժի մեջ մտնելու պահից համարվում են վերացած, որի վերաբերյալ դատարանը եռօրյա ժամկետում օրենքով սահմանված կարգով տեղեկացնում է Հարկադիր կատարումն ապահովող ծառայությանը։</w:t>
      </w:r>
    </w:p>
    <w:p w14:paraId="10DC6614"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7244CE3A"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54A8736A"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5D609C85"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5E61938D"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60665E04"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52319878"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53B30557"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15E0BAF7"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69715FD5"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3D7660DF"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016F1379"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1D4AAEE0"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55237767"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4CA8A051"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7C1B292D"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390796D0"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73317FF4"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4D069E0A"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11E9BCC7"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4EFBDB49"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2F1853D1"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535439AA" w14:textId="77777777" w:rsidR="009957CF"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46A088EA" w14:textId="77777777" w:rsidR="0017383C" w:rsidRDefault="0017383C" w:rsidP="009957CF">
      <w:pPr>
        <w:pStyle w:val="NormalWeb"/>
        <w:spacing w:before="0" w:beforeAutospacing="0" w:after="0" w:afterAutospacing="0" w:line="276" w:lineRule="auto"/>
        <w:jc w:val="right"/>
        <w:rPr>
          <w:rFonts w:ascii="Sylfaen" w:hAnsi="Sylfaen" w:cs="Arial Unicode"/>
          <w:b/>
          <w:bCs/>
          <w:shd w:val="clear" w:color="auto" w:fill="FFFFFF"/>
          <w:lang w:val="hy-AM"/>
        </w:rPr>
      </w:pPr>
    </w:p>
    <w:p w14:paraId="17B14237" w14:textId="77777777" w:rsidR="0017383C" w:rsidRDefault="0017383C" w:rsidP="009957CF">
      <w:pPr>
        <w:pStyle w:val="NormalWeb"/>
        <w:spacing w:before="0" w:beforeAutospacing="0" w:after="0" w:afterAutospacing="0" w:line="276" w:lineRule="auto"/>
        <w:jc w:val="right"/>
        <w:rPr>
          <w:rFonts w:ascii="Sylfaen" w:hAnsi="Sylfaen" w:cs="Arial Unicode"/>
          <w:b/>
          <w:bCs/>
          <w:shd w:val="clear" w:color="auto" w:fill="FFFFFF"/>
          <w:lang w:val="hy-AM"/>
        </w:rPr>
      </w:pPr>
    </w:p>
    <w:sectPr w:rsidR="0017383C"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40BF3" w14:textId="77777777" w:rsidR="00700C2A" w:rsidRDefault="00700C2A" w:rsidP="001109EC">
      <w:pPr>
        <w:spacing w:after="0" w:line="240" w:lineRule="auto"/>
      </w:pPr>
      <w:r>
        <w:separator/>
      </w:r>
    </w:p>
  </w:endnote>
  <w:endnote w:type="continuationSeparator" w:id="0">
    <w:p w14:paraId="5E99834D" w14:textId="77777777" w:rsidR="00700C2A" w:rsidRDefault="00700C2A"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2E2D1" w14:textId="77777777" w:rsidR="00700C2A" w:rsidRDefault="00700C2A" w:rsidP="001109EC">
      <w:pPr>
        <w:spacing w:after="0" w:line="240" w:lineRule="auto"/>
      </w:pPr>
      <w:r>
        <w:separator/>
      </w:r>
    </w:p>
  </w:footnote>
  <w:footnote w:type="continuationSeparator" w:id="0">
    <w:p w14:paraId="278276D0" w14:textId="77777777" w:rsidR="00700C2A" w:rsidRDefault="00700C2A"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0C2A"/>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249E7"/>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2FB23-6FFD-4D62-B50A-65477E6E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2025-02-27T12:16:00Z</dcterms:created>
  <dcterms:modified xsi:type="dcterms:W3CDTF">2025-02-27T12:16:00Z</dcterms:modified>
</cp:coreProperties>
</file>